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3A" w:rsidRDefault="002F44AF" w:rsidP="004C15DF">
      <w:pPr>
        <w:pStyle w:val="Titre1"/>
      </w:pPr>
      <w:r>
        <w:t xml:space="preserve">Fiche </w:t>
      </w:r>
      <w:r w:rsidR="004C15DF" w:rsidRPr="004C15DF">
        <w:t>Résumé de la séance 1</w:t>
      </w:r>
      <w:r w:rsidR="004C15DF">
        <w:t xml:space="preserve"> : </w:t>
      </w:r>
      <w:r w:rsidR="007A4124">
        <w:t>psychoéducation du TDAH</w:t>
      </w:r>
    </w:p>
    <w:p w:rsidR="004C15DF" w:rsidRPr="004C15DF" w:rsidRDefault="004C15DF" w:rsidP="004C15DF">
      <w:pPr>
        <w:pStyle w:val="Titre2"/>
      </w:pPr>
      <w:r>
        <w:t xml:space="preserve">Thèmes abordés : </w:t>
      </w:r>
      <w:r w:rsidR="00743713">
        <w:t>Epidemiologie,</w:t>
      </w:r>
      <w:r w:rsidR="00594F4C">
        <w:t xml:space="preserve"> symptomes, fonctions cognitives</w:t>
      </w:r>
    </w:p>
    <w:p w:rsidR="00780E6F" w:rsidRDefault="00594F4C">
      <w:pPr>
        <w:rPr>
          <w:sz w:val="22"/>
        </w:rPr>
      </w:pPr>
      <w:r>
        <w:rPr>
          <w:sz w:val="22"/>
        </w:rPr>
        <w:t>6% des enfants et 3</w:t>
      </w:r>
      <w:r w:rsidR="00780E6F">
        <w:rPr>
          <w:sz w:val="22"/>
        </w:rPr>
        <w:t>% des adultes ont un TDAH</w:t>
      </w:r>
      <w:r w:rsidR="007A4124">
        <w:rPr>
          <w:sz w:val="22"/>
        </w:rPr>
        <w:t> !</w:t>
      </w:r>
    </w:p>
    <w:p w:rsidR="00E428D2" w:rsidRPr="00E428D2" w:rsidRDefault="000F6475" w:rsidP="00E428D2">
      <w:pPr>
        <w:pStyle w:val="Titre3"/>
      </w:pPr>
      <w:r>
        <w:t>Les symptômes d’InATTENTION</w:t>
      </w:r>
      <w:r w:rsidR="00E428D2" w:rsidRPr="00E428D2">
        <w:t> :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DISTRACTIBILITE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Facilement distrait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Difficultés pour se concentrer et maintenir son attention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Distraction lors des conversations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OUBLIS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Oublis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Pertes d’objets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Erreurs d’inattention/d’étourderie, manque d’égard aux détails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ORGANISATION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Difficultés d’organisation et de planification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Gère mal son emploi du temps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Désordonné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Activité inefficace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Difficulté  à hiérarchiser et à trier les informations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 xml:space="preserve">MENER A BIEN UNE TACHE 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</w:rPr>
        <w:t>F</w:t>
      </w:r>
      <w:r w:rsidRPr="000F6475">
        <w:rPr>
          <w:sz w:val="22"/>
          <w:szCs w:val="22"/>
        </w:rPr>
        <w:t>acilement ennuyé(e)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Peine à réaliser les tâches ennuyeuses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Aversion pour les tâches qui nécessitent un effort mental soutenu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 xml:space="preserve">Difficulté à débuter, à mener à terme une tâche, à tenir les délais, se conformer aux consignes 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Passe d’une tâche à une autre</w:t>
      </w:r>
    </w:p>
    <w:p w:rsidR="000F6475" w:rsidRPr="000F6475" w:rsidRDefault="000F6475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=&gt; Conduit à la procrastination</w:t>
      </w:r>
    </w:p>
    <w:p w:rsidR="000F6475" w:rsidRPr="00E54A8D" w:rsidRDefault="000F6475" w:rsidP="00E54A8D">
      <w:pPr>
        <w:pStyle w:val="Titre3"/>
      </w:pPr>
      <w:r>
        <w:t>L’</w:t>
      </w:r>
      <w:r w:rsidRPr="000F6475">
        <w:t>HYPERACTIVITE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HYPERACTIVITE PHYSIQUE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Sensation d’être entrainé par un moteur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Activité désordonnée, peu efficace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Fait plusieurs choses en même temps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Comportements perturbateurs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 la bougeotte, ne reste pas assis tranquillement, téléphone en marchant, joue avec des objets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 du mal à se tenir tranquille dans les activités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Addictions : sert à s’arrêter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HYPERACTIVITE MENTALE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 xml:space="preserve">Impatient, 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 xml:space="preserve">toujours prêt à agir, 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Sensation de tension, de fébrilité, d’agitation interne</w:t>
      </w:r>
    </w:p>
    <w:p w:rsidR="000F6475" w:rsidRPr="000F6475" w:rsidRDefault="000F6475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ab/>
        <w:t>=&gt; difficulté à se reposer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Parle abondamment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Ne sait pas arrêter une tâche satisfaisante, y inclus le travail</w:t>
      </w:r>
    </w:p>
    <w:p w:rsidR="000F6475" w:rsidRDefault="000F6475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=&gt; Sensation d’être facilement débordé</w:t>
      </w:r>
    </w:p>
    <w:p w:rsidR="00594F4C" w:rsidRDefault="00594F4C" w:rsidP="00594F4C">
      <w:pPr>
        <w:spacing w:line="240" w:lineRule="auto"/>
        <w:rPr>
          <w:sz w:val="22"/>
          <w:szCs w:val="22"/>
        </w:rPr>
      </w:pPr>
    </w:p>
    <w:p w:rsidR="00594F4C" w:rsidRPr="00594F4C" w:rsidRDefault="00594F4C" w:rsidP="00594F4C">
      <w:pPr>
        <w:spacing w:line="240" w:lineRule="auto"/>
        <w:rPr>
          <w:sz w:val="22"/>
          <w:szCs w:val="22"/>
        </w:rPr>
      </w:pPr>
    </w:p>
    <w:p w:rsidR="000F6475" w:rsidRPr="000F6475" w:rsidRDefault="000F6475" w:rsidP="000F6475">
      <w:pPr>
        <w:pStyle w:val="Titre3"/>
      </w:pPr>
      <w:r>
        <w:lastRenderedPageBreak/>
        <w:t>L’</w:t>
      </w:r>
      <w:r w:rsidRPr="000F6475">
        <w:t>IMPULSIVITE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 xml:space="preserve">COGNITIVE 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Interrompt souvent les autres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Répond aux questions avant qu’elles soient entièrement posées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Peine à attendre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Fait des commentaires inappropriés, peut manquer de tact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Agit avant de réfléchir, fait des choses qu’il/elle regrette ensuite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COMPORTEMENTALE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Attrait pour la nouveauté, intolérance à l’ennui/la frustration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 xml:space="preserve">Difficulté à contrôler son comportement </w:t>
      </w:r>
    </w:p>
    <w:p w:rsidR="000F6475" w:rsidRPr="000F6475" w:rsidRDefault="000F6475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 xml:space="preserve">      =&gt; Attrait pour les toxiques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Changements d’emploi impulsifs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Achats impulsifs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Comportements dangereux irréfléchis</w:t>
      </w:r>
    </w:p>
    <w:p w:rsidR="000C71AB" w:rsidRPr="000F6475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Accidents, conduite automobile dangereuse</w:t>
      </w:r>
    </w:p>
    <w:p w:rsidR="000F6475" w:rsidRPr="000F6475" w:rsidRDefault="000F6475" w:rsidP="000F6475">
      <w:pPr>
        <w:numPr>
          <w:ilvl w:val="0"/>
          <w:numId w:val="3"/>
        </w:numPr>
        <w:spacing w:after="0" w:line="240" w:lineRule="auto"/>
        <w:rPr>
          <w:b/>
          <w:bCs/>
          <w:sz w:val="22"/>
          <w:szCs w:val="22"/>
        </w:rPr>
      </w:pPr>
      <w:r w:rsidRPr="000F6475">
        <w:rPr>
          <w:b/>
          <w:bCs/>
          <w:sz w:val="22"/>
          <w:szCs w:val="22"/>
        </w:rPr>
        <w:t>EMOTIONNELLE</w:t>
      </w:r>
    </w:p>
    <w:p w:rsidR="000F6475" w:rsidRPr="00E54A8D" w:rsidRDefault="00E54A8D" w:rsidP="000F6475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F6475">
        <w:rPr>
          <w:sz w:val="22"/>
          <w:szCs w:val="22"/>
        </w:rPr>
        <w:t>Difficultés à gérer ses émotions (irritable, colérique)</w:t>
      </w:r>
    </w:p>
    <w:p w:rsidR="002F44AF" w:rsidRPr="00E428D2" w:rsidRDefault="002F44AF" w:rsidP="00E428D2">
      <w:pPr>
        <w:pStyle w:val="Titre3"/>
      </w:pPr>
      <w:r w:rsidRPr="00E428D2">
        <w:t>Les différentes formes cliniques du trou</w:t>
      </w:r>
      <w:r w:rsidR="00E428D2">
        <w:t xml:space="preserve">ble de l’attention avec ou sans </w:t>
      </w:r>
      <w:r w:rsidRPr="00E428D2">
        <w:t>hyperactivité :</w:t>
      </w:r>
    </w:p>
    <w:p w:rsidR="002F44AF" w:rsidRPr="00E428D2" w:rsidRDefault="002F44AF" w:rsidP="00594F4C">
      <w:pPr>
        <w:jc w:val="center"/>
        <w:rPr>
          <w:sz w:val="22"/>
          <w:szCs w:val="22"/>
        </w:rPr>
      </w:pPr>
      <w:r w:rsidRPr="00E428D2">
        <w:rPr>
          <w:noProof/>
          <w:sz w:val="22"/>
          <w:szCs w:val="22"/>
          <w:lang w:eastAsia="fr-FR"/>
        </w:rPr>
        <w:drawing>
          <wp:inline distT="0" distB="0" distL="0" distR="0" wp14:anchorId="6C8CAE43" wp14:editId="45E43D6C">
            <wp:extent cx="3328035" cy="2476500"/>
            <wp:effectExtent l="0" t="0" r="5715" b="0"/>
            <wp:docPr id="190" name="Google Shape;190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Google Shape;190;p13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328425" cy="24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AF" w:rsidRPr="00E428D2" w:rsidRDefault="002F44AF" w:rsidP="00743713">
      <w:pPr>
        <w:spacing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Il existe donc trois sous type de tableau clinique évoquant un TDAH :</w:t>
      </w:r>
    </w:p>
    <w:p w:rsidR="002F44AF" w:rsidRPr="00E428D2" w:rsidRDefault="002F44AF" w:rsidP="00743713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 xml:space="preserve">Une forme avec des symptômes d’inattention prédominants (plus souvent chez les </w:t>
      </w:r>
      <w:r w:rsidR="009B0896" w:rsidRPr="00E428D2">
        <w:rPr>
          <w:sz w:val="22"/>
          <w:szCs w:val="22"/>
        </w:rPr>
        <w:t>femmes)</w:t>
      </w:r>
    </w:p>
    <w:p w:rsidR="002F44AF" w:rsidRPr="00E428D2" w:rsidRDefault="002F44AF" w:rsidP="00743713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 xml:space="preserve">Une forme avec des symptômes d’hyperactivité/impulsivité prédominants </w:t>
      </w:r>
      <w:r w:rsidR="009B0896" w:rsidRPr="00E428D2">
        <w:rPr>
          <w:sz w:val="22"/>
          <w:szCs w:val="22"/>
        </w:rPr>
        <w:t>(se</w:t>
      </w:r>
      <w:r w:rsidRPr="00E428D2">
        <w:rPr>
          <w:sz w:val="22"/>
          <w:szCs w:val="22"/>
        </w:rPr>
        <w:t xml:space="preserve"> retrouve surtout chez </w:t>
      </w:r>
      <w:r w:rsidR="00E45339" w:rsidRPr="00E428D2">
        <w:rPr>
          <w:sz w:val="22"/>
          <w:szCs w:val="22"/>
        </w:rPr>
        <w:t>l’enfant)</w:t>
      </w:r>
    </w:p>
    <w:p w:rsidR="00E428D2" w:rsidRPr="00594F4C" w:rsidRDefault="002F44AF" w:rsidP="00594F4C">
      <w:pPr>
        <w:pStyle w:val="Paragraphedeliste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Une forme mixte, la plus fréquente, qui associe des symptômes d’inattention, d’hyperactivité et d’impulsivité</w:t>
      </w:r>
    </w:p>
    <w:p w:rsidR="009B0896" w:rsidRPr="00E428D2" w:rsidRDefault="00E45339" w:rsidP="00E428D2">
      <w:pPr>
        <w:pStyle w:val="Titre3"/>
      </w:pPr>
      <w:r w:rsidRPr="00E428D2">
        <w:t xml:space="preserve">Les autres symptômes du TDAH </w:t>
      </w:r>
      <w:r w:rsidR="004C15DF" w:rsidRPr="00E428D2">
        <w:t>(en</w:t>
      </w:r>
      <w:r w:rsidRPr="00E428D2">
        <w:t xml:space="preserve"> plus de l’attention,</w:t>
      </w:r>
      <w:r w:rsidR="004C15DF" w:rsidRPr="00E428D2">
        <w:t xml:space="preserve"> de</w:t>
      </w:r>
      <w:r w:rsidRPr="00E428D2">
        <w:t xml:space="preserve"> l’hyperactivité et de </w:t>
      </w:r>
      <w:r w:rsidR="00743713" w:rsidRPr="00E428D2">
        <w:t>l’impulsivité)</w:t>
      </w:r>
      <w:r w:rsidRPr="00E428D2">
        <w:t> :</w:t>
      </w:r>
    </w:p>
    <w:p w:rsidR="008309D2" w:rsidRPr="00E428D2" w:rsidRDefault="00E45339" w:rsidP="00743713">
      <w:pPr>
        <w:numPr>
          <w:ilvl w:val="0"/>
          <w:numId w:val="3"/>
        </w:numPr>
        <w:spacing w:after="0" w:line="240" w:lineRule="auto"/>
        <w:rPr>
          <w:sz w:val="22"/>
          <w:szCs w:val="22"/>
        </w:rPr>
      </w:pPr>
      <w:r w:rsidRPr="00E428D2">
        <w:rPr>
          <w:b/>
          <w:bCs/>
          <w:sz w:val="22"/>
          <w:szCs w:val="22"/>
        </w:rPr>
        <w:t>Difficulté de régulation</w:t>
      </w:r>
      <w:r w:rsidR="00743713" w:rsidRPr="00E428D2">
        <w:rPr>
          <w:b/>
          <w:bCs/>
          <w:sz w:val="22"/>
          <w:szCs w:val="22"/>
        </w:rPr>
        <w:t xml:space="preserve"> émotionnelle</w:t>
      </w:r>
      <w:r w:rsidRPr="00E428D2">
        <w:rPr>
          <w:b/>
          <w:bCs/>
          <w:sz w:val="22"/>
          <w:szCs w:val="22"/>
        </w:rPr>
        <w:t xml:space="preserve"> </w:t>
      </w:r>
      <w:r w:rsidR="00743713" w:rsidRPr="00E428D2">
        <w:rPr>
          <w:sz w:val="22"/>
          <w:szCs w:val="22"/>
        </w:rPr>
        <w:t>:</w:t>
      </w:r>
    </w:p>
    <w:p w:rsidR="008309D2" w:rsidRPr="00E428D2" w:rsidRDefault="00743713" w:rsidP="00743713">
      <w:pPr>
        <w:numPr>
          <w:ilvl w:val="0"/>
          <w:numId w:val="4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 xml:space="preserve">Difficultés de gestion des émotions </w:t>
      </w:r>
    </w:p>
    <w:p w:rsidR="008309D2" w:rsidRPr="00E428D2" w:rsidRDefault="00743713" w:rsidP="00743713">
      <w:pPr>
        <w:numPr>
          <w:ilvl w:val="0"/>
          <w:numId w:val="4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Fluctuation rapide de l’humeur</w:t>
      </w:r>
      <w:r w:rsidR="00E45339" w:rsidRPr="00E428D2">
        <w:rPr>
          <w:sz w:val="22"/>
          <w:szCs w:val="22"/>
        </w:rPr>
        <w:t xml:space="preserve"> en fonction des contrariétés (stimulis)</w:t>
      </w:r>
    </w:p>
    <w:p w:rsidR="008309D2" w:rsidRPr="00E428D2" w:rsidRDefault="00743713" w:rsidP="00743713">
      <w:pPr>
        <w:numPr>
          <w:ilvl w:val="0"/>
          <w:numId w:val="4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Intolérance à la frustration</w:t>
      </w:r>
    </w:p>
    <w:p w:rsidR="008309D2" w:rsidRPr="00E428D2" w:rsidRDefault="00E45339" w:rsidP="00743713">
      <w:pPr>
        <w:numPr>
          <w:ilvl w:val="0"/>
          <w:numId w:val="4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« </w:t>
      </w:r>
      <w:r w:rsidR="00743713" w:rsidRPr="00E428D2">
        <w:rPr>
          <w:sz w:val="22"/>
          <w:szCs w:val="22"/>
        </w:rPr>
        <w:t>Hypersensibilité</w:t>
      </w:r>
      <w:r w:rsidRPr="00E428D2">
        <w:rPr>
          <w:sz w:val="22"/>
          <w:szCs w:val="22"/>
        </w:rPr>
        <w:t> »</w:t>
      </w:r>
    </w:p>
    <w:p w:rsidR="00E45339" w:rsidRPr="00E428D2" w:rsidRDefault="00E45339" w:rsidP="00743713">
      <w:pPr>
        <w:spacing w:after="0" w:line="240" w:lineRule="auto"/>
        <w:ind w:left="720"/>
        <w:rPr>
          <w:sz w:val="22"/>
          <w:szCs w:val="22"/>
        </w:rPr>
      </w:pPr>
    </w:p>
    <w:p w:rsidR="008309D2" w:rsidRPr="00E428D2" w:rsidRDefault="00743713" w:rsidP="00743713">
      <w:pPr>
        <w:numPr>
          <w:ilvl w:val="0"/>
          <w:numId w:val="5"/>
        </w:numPr>
        <w:spacing w:after="0" w:line="240" w:lineRule="auto"/>
        <w:rPr>
          <w:sz w:val="22"/>
          <w:szCs w:val="22"/>
        </w:rPr>
      </w:pPr>
      <w:r w:rsidRPr="00E428D2">
        <w:rPr>
          <w:b/>
          <w:bCs/>
          <w:sz w:val="22"/>
          <w:szCs w:val="22"/>
        </w:rPr>
        <w:t>Difficultés motivationnelles</w:t>
      </w:r>
      <w:r w:rsidRPr="00E428D2">
        <w:rPr>
          <w:sz w:val="22"/>
          <w:szCs w:val="22"/>
        </w:rPr>
        <w:t xml:space="preserve"> (→ </w:t>
      </w:r>
      <w:r w:rsidRPr="00E428D2">
        <w:rPr>
          <w:b/>
          <w:bCs/>
          <w:sz w:val="22"/>
          <w:szCs w:val="22"/>
        </w:rPr>
        <w:t>procrastination</w:t>
      </w:r>
      <w:r w:rsidRPr="00E428D2">
        <w:rPr>
          <w:sz w:val="22"/>
          <w:szCs w:val="22"/>
        </w:rPr>
        <w:t>) :</w:t>
      </w:r>
    </w:p>
    <w:p w:rsidR="008309D2" w:rsidRPr="00E428D2" w:rsidRDefault="00743713" w:rsidP="00743713">
      <w:pPr>
        <w:numPr>
          <w:ilvl w:val="0"/>
          <w:numId w:val="6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lastRenderedPageBreak/>
        <w:t>N’agit que sous la pression ou avec une récompense immédiate</w:t>
      </w:r>
    </w:p>
    <w:p w:rsidR="008309D2" w:rsidRPr="00E428D2" w:rsidRDefault="00743713" w:rsidP="00743713">
      <w:pPr>
        <w:numPr>
          <w:ilvl w:val="0"/>
          <w:numId w:val="6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Difficultés à poursuivre une tâche dès la perte de nouveauté/du caractère stimulant</w:t>
      </w:r>
    </w:p>
    <w:p w:rsidR="008309D2" w:rsidRPr="00E428D2" w:rsidRDefault="00743713" w:rsidP="00743713">
      <w:pPr>
        <w:numPr>
          <w:ilvl w:val="0"/>
          <w:numId w:val="6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Intolérance à l’ennui</w:t>
      </w:r>
    </w:p>
    <w:p w:rsidR="008309D2" w:rsidRPr="00E428D2" w:rsidRDefault="00743713" w:rsidP="00743713">
      <w:pPr>
        <w:numPr>
          <w:ilvl w:val="0"/>
          <w:numId w:val="6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 xml:space="preserve">Difficultés à automatiser les tâches ou faire des </w:t>
      </w:r>
      <w:r w:rsidR="00E45339" w:rsidRPr="00E428D2">
        <w:rPr>
          <w:sz w:val="22"/>
          <w:szCs w:val="22"/>
        </w:rPr>
        <w:t>tâches</w:t>
      </w:r>
      <w:r w:rsidRPr="00E428D2">
        <w:rPr>
          <w:sz w:val="22"/>
          <w:szCs w:val="22"/>
        </w:rPr>
        <w:t xml:space="preserve"> répétitives</w:t>
      </w:r>
    </w:p>
    <w:p w:rsidR="008309D2" w:rsidRPr="00E428D2" w:rsidRDefault="00743713" w:rsidP="00743713">
      <w:pPr>
        <w:numPr>
          <w:ilvl w:val="0"/>
          <w:numId w:val="6"/>
        </w:numPr>
        <w:spacing w:after="0" w:line="240" w:lineRule="auto"/>
        <w:rPr>
          <w:sz w:val="22"/>
          <w:szCs w:val="22"/>
        </w:rPr>
      </w:pPr>
      <w:r w:rsidRPr="00E428D2">
        <w:rPr>
          <w:sz w:val="22"/>
          <w:szCs w:val="22"/>
        </w:rPr>
        <w:t>Attrait pour la nouveauté/recherche de sensations</w:t>
      </w:r>
    </w:p>
    <w:p w:rsidR="00E45339" w:rsidRPr="00E428D2" w:rsidRDefault="00E45339" w:rsidP="00743713">
      <w:pPr>
        <w:spacing w:after="0" w:line="240" w:lineRule="auto"/>
        <w:ind w:left="720"/>
        <w:rPr>
          <w:sz w:val="22"/>
          <w:szCs w:val="22"/>
        </w:rPr>
      </w:pPr>
    </w:p>
    <w:p w:rsidR="00E428D2" w:rsidRPr="00E428D2" w:rsidRDefault="00743713" w:rsidP="00743713">
      <w:pPr>
        <w:numPr>
          <w:ilvl w:val="0"/>
          <w:numId w:val="7"/>
        </w:numPr>
        <w:spacing w:after="0" w:line="240" w:lineRule="auto"/>
        <w:rPr>
          <w:sz w:val="22"/>
          <w:szCs w:val="22"/>
        </w:rPr>
      </w:pPr>
      <w:r w:rsidRPr="00E428D2">
        <w:rPr>
          <w:b/>
          <w:bCs/>
          <w:sz w:val="22"/>
          <w:szCs w:val="22"/>
        </w:rPr>
        <w:t>Trouble de l’éveil/vigilance</w:t>
      </w:r>
    </w:p>
    <w:p w:rsidR="008309D2" w:rsidRPr="00E428D2" w:rsidRDefault="00E45339" w:rsidP="00E428D2">
      <w:pPr>
        <w:spacing w:after="0" w:line="240" w:lineRule="auto"/>
        <w:ind w:left="720"/>
        <w:rPr>
          <w:sz w:val="22"/>
          <w:szCs w:val="22"/>
        </w:rPr>
      </w:pPr>
      <w:r w:rsidRPr="00E428D2">
        <w:rPr>
          <w:b/>
          <w:bCs/>
          <w:sz w:val="22"/>
          <w:szCs w:val="22"/>
        </w:rPr>
        <w:t xml:space="preserve"> </w:t>
      </w:r>
      <w:r w:rsidR="00E428D2">
        <w:rPr>
          <w:bCs/>
          <w:sz w:val="22"/>
          <w:szCs w:val="22"/>
        </w:rPr>
        <w:t>(problème</w:t>
      </w:r>
      <w:r w:rsidRPr="00E428D2">
        <w:rPr>
          <w:bCs/>
          <w:sz w:val="22"/>
          <w:szCs w:val="22"/>
        </w:rPr>
        <w:t xml:space="preserve"> d’endormissement, tendance à l’endormissement, sensation de fatigue )</w:t>
      </w:r>
    </w:p>
    <w:p w:rsidR="008309D2" w:rsidRPr="00E428D2" w:rsidRDefault="00743713" w:rsidP="00743713">
      <w:pPr>
        <w:numPr>
          <w:ilvl w:val="0"/>
          <w:numId w:val="7"/>
        </w:numPr>
        <w:spacing w:after="0" w:line="240" w:lineRule="auto"/>
        <w:rPr>
          <w:sz w:val="22"/>
          <w:szCs w:val="22"/>
        </w:rPr>
      </w:pPr>
      <w:r w:rsidRPr="00E428D2">
        <w:rPr>
          <w:b/>
          <w:bCs/>
          <w:sz w:val="22"/>
          <w:szCs w:val="22"/>
        </w:rPr>
        <w:t>Perception distordue du temps (retard ++)</w:t>
      </w:r>
    </w:p>
    <w:p w:rsidR="007E7CD6" w:rsidRDefault="007E7CD6" w:rsidP="00E45339">
      <w:pPr>
        <w:spacing w:after="0"/>
        <w:rPr>
          <w:b/>
          <w:bCs/>
          <w:sz w:val="22"/>
          <w:szCs w:val="22"/>
        </w:rPr>
      </w:pPr>
    </w:p>
    <w:p w:rsidR="00E428D2" w:rsidRDefault="00E428D2" w:rsidP="00E428D2">
      <w:pPr>
        <w:pStyle w:val="Titre3"/>
      </w:pPr>
      <w:r>
        <w:t>TDAH et potentiel intellectuel</w:t>
      </w:r>
    </w:p>
    <w:p w:rsidR="00E428D2" w:rsidRPr="00E428D2" w:rsidRDefault="00E428D2" w:rsidP="00E428D2">
      <w:pPr>
        <w:spacing w:after="0"/>
        <w:rPr>
          <w:sz w:val="22"/>
        </w:rPr>
      </w:pPr>
      <w:r w:rsidRPr="00E428D2">
        <w:rPr>
          <w:sz w:val="22"/>
        </w:rPr>
        <w:t xml:space="preserve">Concernant le calcul du quotient intellectuel (QI), il est équivalent à celui de la population générale. </w:t>
      </w:r>
    </w:p>
    <w:p w:rsidR="00E428D2" w:rsidRPr="00E428D2" w:rsidRDefault="00E428D2" w:rsidP="00E428D2">
      <w:pPr>
        <w:spacing w:after="0"/>
        <w:rPr>
          <w:sz w:val="22"/>
        </w:rPr>
      </w:pPr>
      <w:r w:rsidRPr="00E428D2">
        <w:rPr>
          <w:sz w:val="22"/>
        </w:rPr>
        <w:t>Les personnes possédant un haut potentiel intellectuel ont tendance à compenser (et masquer !) leur TDAH.</w:t>
      </w:r>
    </w:p>
    <w:p w:rsidR="00E428D2" w:rsidRPr="00E428D2" w:rsidRDefault="00E428D2" w:rsidP="00E428D2">
      <w:pPr>
        <w:spacing w:after="0"/>
        <w:rPr>
          <w:sz w:val="22"/>
        </w:rPr>
      </w:pPr>
      <w:r w:rsidRPr="00E428D2">
        <w:rPr>
          <w:sz w:val="22"/>
        </w:rPr>
        <w:t>D’ailleurs, les tests de QI peuvent être influencés par la présence d’un TDAH en montrant :</w:t>
      </w:r>
    </w:p>
    <w:p w:rsidR="00E428D2" w:rsidRPr="00E428D2" w:rsidRDefault="00E428D2" w:rsidP="00E428D2">
      <w:pPr>
        <w:pStyle w:val="Paragraphedeliste"/>
        <w:numPr>
          <w:ilvl w:val="0"/>
          <w:numId w:val="6"/>
        </w:numPr>
        <w:spacing w:after="0"/>
        <w:rPr>
          <w:sz w:val="22"/>
        </w:rPr>
      </w:pPr>
      <w:r w:rsidRPr="00E428D2">
        <w:rPr>
          <w:sz w:val="22"/>
        </w:rPr>
        <w:t>Un QI hétérogène (différences de résultats entre les capacités cognitives évaluées lors du test)</w:t>
      </w:r>
    </w:p>
    <w:p w:rsidR="00E428D2" w:rsidRPr="00E428D2" w:rsidRDefault="00E428D2" w:rsidP="00E428D2">
      <w:pPr>
        <w:pStyle w:val="Paragraphedeliste"/>
        <w:numPr>
          <w:ilvl w:val="0"/>
          <w:numId w:val="6"/>
        </w:numPr>
        <w:spacing w:after="0"/>
        <w:rPr>
          <w:sz w:val="22"/>
        </w:rPr>
      </w:pPr>
      <w:r w:rsidRPr="00E428D2">
        <w:rPr>
          <w:sz w:val="22"/>
        </w:rPr>
        <w:t xml:space="preserve">Un QI verbal &gt; QI performance </w:t>
      </w:r>
    </w:p>
    <w:p w:rsidR="00E428D2" w:rsidRPr="00E428D2" w:rsidRDefault="00E428D2" w:rsidP="00E428D2">
      <w:pPr>
        <w:pStyle w:val="Paragraphedeliste"/>
        <w:numPr>
          <w:ilvl w:val="0"/>
          <w:numId w:val="6"/>
        </w:numPr>
        <w:spacing w:after="0"/>
        <w:rPr>
          <w:sz w:val="22"/>
        </w:rPr>
      </w:pPr>
      <w:r w:rsidRPr="00E428D2">
        <w:rPr>
          <w:sz w:val="22"/>
        </w:rPr>
        <w:t>Une baisse de la vitesse de traitement de l’information</w:t>
      </w:r>
    </w:p>
    <w:p w:rsidR="00594F4C" w:rsidRDefault="00E428D2" w:rsidP="00E45339">
      <w:pPr>
        <w:spacing w:after="0"/>
        <w:rPr>
          <w:sz w:val="22"/>
        </w:rPr>
      </w:pPr>
      <w:r w:rsidRPr="00E428D2">
        <w:rPr>
          <w:sz w:val="22"/>
        </w:rPr>
        <w:t>Ses résultats peuvent être améli</w:t>
      </w:r>
      <w:r w:rsidR="00594F4C">
        <w:rPr>
          <w:sz w:val="22"/>
        </w:rPr>
        <w:t>orés avec le traitement du TDAH</w:t>
      </w: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Default="00594F4C" w:rsidP="00E45339">
      <w:pPr>
        <w:spacing w:after="0"/>
        <w:rPr>
          <w:sz w:val="22"/>
        </w:rPr>
      </w:pPr>
    </w:p>
    <w:p w:rsidR="00594F4C" w:rsidRPr="00594F4C" w:rsidRDefault="00594F4C" w:rsidP="00E45339">
      <w:pPr>
        <w:spacing w:after="0"/>
        <w:rPr>
          <w:sz w:val="22"/>
        </w:rPr>
      </w:pPr>
    </w:p>
    <w:p w:rsidR="00743713" w:rsidRPr="00E428D2" w:rsidRDefault="00E45339" w:rsidP="00E428D2">
      <w:pPr>
        <w:pStyle w:val="Titre3"/>
      </w:pPr>
      <w:r w:rsidRPr="00E428D2">
        <w:lastRenderedPageBreak/>
        <w:t>Les fonctions cognitives pouvant être modifié</w:t>
      </w:r>
      <w:r w:rsidR="007E7CD6" w:rsidRPr="00E428D2">
        <w:t>e</w:t>
      </w:r>
      <w:r w:rsidRPr="00E428D2">
        <w:t>s par le TDAH</w:t>
      </w:r>
      <w:r w:rsidR="007E7CD6" w:rsidRPr="00E428D2">
        <w:t> :</w:t>
      </w:r>
    </w:p>
    <w:p w:rsidR="00594F4C" w:rsidRPr="00594F4C" w:rsidRDefault="007E7CD6">
      <w:r>
        <w:rPr>
          <w:noProof/>
          <w:lang w:eastAsia="fr-FR"/>
        </w:rPr>
        <w:drawing>
          <wp:inline distT="0" distB="0" distL="0" distR="0" wp14:anchorId="2CD03222" wp14:editId="4A20082F">
            <wp:extent cx="5760720" cy="6363970"/>
            <wp:effectExtent l="0" t="0" r="0" b="0"/>
            <wp:docPr id="390" name="Google Shape;390;p3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Google Shape;390;p30"/>
                    <pic:cNvPicPr preferRelativeResize="0">
                      <a:picLocks noGrp="1"/>
                    </pic:cNvPicPr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76072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4C" w:rsidRDefault="00594F4C" w:rsidP="00594F4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68DF2D6" wp14:editId="0EA9A6C1">
            <wp:simplePos x="0" y="0"/>
            <wp:positionH relativeFrom="column">
              <wp:posOffset>258445</wp:posOffset>
            </wp:positionH>
            <wp:positionV relativeFrom="paragraph">
              <wp:posOffset>213995</wp:posOffset>
            </wp:positionV>
            <wp:extent cx="5637326" cy="1691640"/>
            <wp:effectExtent l="0" t="0" r="1905" b="3810"/>
            <wp:wrapSquare wrapText="bothSides"/>
            <wp:docPr id="2" name="Google Shape;154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154;p20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t="57451"/>
                    <a:stretch/>
                  </pic:blipFill>
                  <pic:spPr>
                    <a:xfrm>
                      <a:off x="0" y="0"/>
                      <a:ext cx="5637326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F4C" w:rsidRDefault="00594F4C" w:rsidP="00594F4C"/>
    <w:p w:rsidR="00594F4C" w:rsidRDefault="00594F4C" w:rsidP="00594F4C"/>
    <w:p w:rsidR="00594F4C" w:rsidRDefault="00594F4C" w:rsidP="00594F4C"/>
    <w:p w:rsidR="00594F4C" w:rsidRDefault="00594F4C" w:rsidP="00594F4C"/>
    <w:p w:rsidR="00594F4C" w:rsidRDefault="00594F4C" w:rsidP="00594F4C"/>
    <w:p w:rsidR="00594F4C" w:rsidRDefault="00594F4C" w:rsidP="00594F4C"/>
    <w:p w:rsidR="00594F4C" w:rsidRDefault="00594F4C" w:rsidP="00594F4C"/>
    <w:p w:rsidR="00594F4C" w:rsidRDefault="00594F4C" w:rsidP="00594F4C"/>
    <w:p w:rsidR="00594F4C" w:rsidRPr="009D5C3C" w:rsidRDefault="00594F4C" w:rsidP="00594F4C"/>
    <w:p w:rsidR="00594F4C" w:rsidRDefault="00594F4C" w:rsidP="00594F4C">
      <w:pPr>
        <w:pStyle w:val="Titre2"/>
      </w:pPr>
      <w:r w:rsidRPr="009D5C3C">
        <w:lastRenderedPageBreak/>
        <w:t>Variation des symptômes</w:t>
      </w:r>
      <w:r>
        <w:t xml:space="preserve"> du TDAH</w:t>
      </w:r>
      <w:r w:rsidRPr="009D5C3C">
        <w:t xml:space="preserve"> en fonction du contexte :</w:t>
      </w:r>
    </w:p>
    <w:p w:rsidR="00594F4C" w:rsidRPr="00594F4C" w:rsidRDefault="00594F4C" w:rsidP="00594F4C"/>
    <w:p w:rsidR="00594F4C" w:rsidRDefault="00594F4C" w:rsidP="00594F4C">
      <w:pPr>
        <w:spacing w:before="0" w:after="0"/>
        <w:jc w:val="center"/>
        <w:rPr>
          <w:u w:val="single"/>
        </w:rPr>
      </w:pPr>
      <w:r w:rsidRPr="009D5C3C">
        <w:rPr>
          <w:noProof/>
          <w:u w:val="single"/>
          <w:lang w:eastAsia="fr-FR"/>
        </w:rPr>
        <w:drawing>
          <wp:inline distT="0" distB="0" distL="0" distR="0" wp14:anchorId="180D11CD" wp14:editId="4870A0D1">
            <wp:extent cx="6130290" cy="2279561"/>
            <wp:effectExtent l="0" t="0" r="3810" b="0"/>
            <wp:docPr id="261" name="Google Shape;261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oogle Shape;261;p15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t="2566" b="27241"/>
                    <a:stretch/>
                  </pic:blipFill>
                  <pic:spPr bwMode="auto">
                    <a:xfrm>
                      <a:off x="0" y="0"/>
                      <a:ext cx="6169960" cy="22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F4C" w:rsidRPr="009D5C3C" w:rsidRDefault="00594F4C" w:rsidP="00594F4C">
      <w:pPr>
        <w:spacing w:before="0" w:after="0"/>
        <w:rPr>
          <w:u w:val="single"/>
        </w:rPr>
      </w:pPr>
    </w:p>
    <w:p w:rsidR="00594F4C" w:rsidRDefault="00594F4C" w:rsidP="00594F4C">
      <w:pPr>
        <w:pStyle w:val="Titre3"/>
      </w:pPr>
      <w:r>
        <w:t xml:space="preserve">Variation des symptômes du TDAH sur la journée : </w:t>
      </w:r>
    </w:p>
    <w:p w:rsidR="00594F4C" w:rsidRDefault="00594F4C" w:rsidP="00594F4C">
      <w:pPr>
        <w:spacing w:before="0" w:after="0"/>
        <w:jc w:val="center"/>
        <w:rPr>
          <w:u w:val="single"/>
        </w:rPr>
      </w:pPr>
      <w:r w:rsidRPr="009D5C3C">
        <w:rPr>
          <w:noProof/>
          <w:u w:val="single"/>
          <w:lang w:eastAsia="fr-FR"/>
        </w:rPr>
        <w:drawing>
          <wp:inline distT="0" distB="0" distL="0" distR="0" wp14:anchorId="23D6465F" wp14:editId="6E56792F">
            <wp:extent cx="5575935" cy="3322749"/>
            <wp:effectExtent l="0" t="0" r="0" b="5080"/>
            <wp:docPr id="5" name="Google Shape;259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Shape;259;p15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621278" cy="33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4C" w:rsidRDefault="00594F4C" w:rsidP="00594F4C">
      <w:pPr>
        <w:spacing w:before="0" w:after="0"/>
        <w:rPr>
          <w:u w:val="single"/>
        </w:rPr>
      </w:pPr>
    </w:p>
    <w:p w:rsidR="00594F4C" w:rsidRPr="009D5C3C" w:rsidRDefault="00594F4C" w:rsidP="00594F4C">
      <w:pPr>
        <w:pStyle w:val="Titre3"/>
      </w:pPr>
      <w:r>
        <w:t>La difficulté diagnostique du TDAH à l’âge adulte :</w:t>
      </w:r>
      <w:r w:rsidRPr="009D5C3C">
        <w:t xml:space="preserve">                           </w:t>
      </w:r>
    </w:p>
    <w:p w:rsidR="00594F4C" w:rsidRPr="00594F4C" w:rsidRDefault="00594F4C" w:rsidP="00594F4C">
      <w:pPr>
        <w:spacing w:before="0" w:after="0"/>
        <w:rPr>
          <w:sz w:val="22"/>
        </w:rPr>
      </w:pPr>
      <w:r w:rsidRPr="00594F4C">
        <w:rPr>
          <w:sz w:val="22"/>
        </w:rPr>
        <w:t xml:space="preserve">• </w:t>
      </w:r>
      <w:r w:rsidRPr="00594F4C">
        <w:rPr>
          <w:b/>
          <w:bCs/>
          <w:sz w:val="22"/>
        </w:rPr>
        <w:t xml:space="preserve">Risque de sous-diagnostiquer le TDAH chez l’adulte si : </w:t>
      </w:r>
    </w:p>
    <w:p w:rsidR="00594F4C" w:rsidRPr="00594F4C" w:rsidRDefault="00594F4C" w:rsidP="00594F4C">
      <w:pPr>
        <w:spacing w:before="0" w:after="0"/>
        <w:rPr>
          <w:sz w:val="22"/>
        </w:rPr>
      </w:pPr>
      <w:r w:rsidRPr="00594F4C">
        <w:rPr>
          <w:sz w:val="22"/>
        </w:rPr>
        <w:t xml:space="preserve">    - l’expression des symptômes </w:t>
      </w:r>
      <w:r w:rsidRPr="00594F4C">
        <w:rPr>
          <w:b/>
          <w:bCs/>
          <w:sz w:val="22"/>
        </w:rPr>
        <w:t>se modifie avec le temps</w:t>
      </w:r>
      <w:r w:rsidRPr="00594F4C">
        <w:rPr>
          <w:sz w:val="22"/>
        </w:rPr>
        <w:br/>
        <w:t xml:space="preserve">    - des mécanismes “</w:t>
      </w:r>
      <w:r w:rsidRPr="00594F4C">
        <w:rPr>
          <w:b/>
          <w:bCs/>
          <w:sz w:val="22"/>
        </w:rPr>
        <w:t>compensatoires</w:t>
      </w:r>
      <w:r w:rsidRPr="00594F4C">
        <w:rPr>
          <w:sz w:val="22"/>
        </w:rPr>
        <w:t xml:space="preserve">” sont opérants (mais coûteux en terme d’énergie) </w:t>
      </w:r>
    </w:p>
    <w:p w:rsidR="00594F4C" w:rsidRDefault="00594F4C" w:rsidP="00594F4C">
      <w:pPr>
        <w:spacing w:before="0" w:after="0"/>
        <w:rPr>
          <w:sz w:val="22"/>
        </w:rPr>
      </w:pPr>
      <w:r w:rsidRPr="00594F4C">
        <w:rPr>
          <w:sz w:val="22"/>
        </w:rPr>
        <w:t xml:space="preserve">    - est masquée par une </w:t>
      </w:r>
      <w:r w:rsidRPr="00594F4C">
        <w:rPr>
          <w:b/>
          <w:bCs/>
          <w:sz w:val="22"/>
        </w:rPr>
        <w:t>comorbidité́</w:t>
      </w:r>
      <w:r w:rsidRPr="00594F4C">
        <w:rPr>
          <w:sz w:val="22"/>
        </w:rPr>
        <w:t xml:space="preserve"> =&gt; environ </w:t>
      </w:r>
      <w:r w:rsidRPr="00594F4C">
        <w:rPr>
          <w:b/>
          <w:bCs/>
          <w:sz w:val="22"/>
        </w:rPr>
        <w:t>80</w:t>
      </w:r>
      <w:r w:rsidRPr="00594F4C">
        <w:rPr>
          <w:sz w:val="22"/>
        </w:rPr>
        <w:t>% des adultes atteints de TDAH ont une comorbidité́ psychiatrique.</w:t>
      </w:r>
    </w:p>
    <w:p w:rsidR="00594F4C" w:rsidRPr="00594F4C" w:rsidRDefault="00594F4C" w:rsidP="00594F4C">
      <w:pPr>
        <w:spacing w:before="0" w:after="0"/>
        <w:rPr>
          <w:sz w:val="22"/>
        </w:rPr>
      </w:pPr>
    </w:p>
    <w:p w:rsidR="00594F4C" w:rsidRPr="00594F4C" w:rsidRDefault="00594F4C" w:rsidP="00594F4C">
      <w:pPr>
        <w:numPr>
          <w:ilvl w:val="0"/>
          <w:numId w:val="21"/>
        </w:numPr>
        <w:spacing w:before="0" w:after="0"/>
        <w:rPr>
          <w:sz w:val="22"/>
        </w:rPr>
      </w:pPr>
      <w:r w:rsidRPr="00594F4C">
        <w:rPr>
          <w:b/>
          <w:bCs/>
          <w:sz w:val="22"/>
        </w:rPr>
        <w:t>Moins d’1/3 des TDAH adultes sont diagnostiqués</w:t>
      </w:r>
    </w:p>
    <w:p w:rsidR="00594F4C" w:rsidRPr="00594F4C" w:rsidRDefault="00594F4C" w:rsidP="00594F4C">
      <w:pPr>
        <w:spacing w:before="0" w:after="0"/>
        <w:rPr>
          <w:b/>
          <w:bCs/>
          <w:sz w:val="22"/>
        </w:rPr>
      </w:pPr>
      <w:r w:rsidRPr="00594F4C">
        <w:rPr>
          <w:b/>
          <w:bCs/>
          <w:sz w:val="22"/>
        </w:rPr>
        <w:t>Surtout chez les FEMMES et la personne âgée</w:t>
      </w:r>
    </w:p>
    <w:p w:rsidR="00594F4C" w:rsidRDefault="00594F4C" w:rsidP="00594F4C">
      <w:pPr>
        <w:spacing w:before="0" w:after="0"/>
        <w:rPr>
          <w:u w:val="single"/>
        </w:rPr>
      </w:pPr>
    </w:p>
    <w:p w:rsidR="00594F4C" w:rsidRDefault="00594F4C" w:rsidP="00594F4C">
      <w:pPr>
        <w:spacing w:before="0" w:after="0"/>
        <w:rPr>
          <w:u w:val="single"/>
        </w:rPr>
      </w:pPr>
    </w:p>
    <w:p w:rsidR="00594F4C" w:rsidRDefault="00594F4C" w:rsidP="00594F4C">
      <w:pPr>
        <w:pStyle w:val="Titre3"/>
      </w:pPr>
      <w:r>
        <w:lastRenderedPageBreak/>
        <w:t>Les m</w:t>
      </w:r>
      <w:r w:rsidRPr="009D5C3C">
        <w:t>écanismes compensatoires</w:t>
      </w:r>
      <w:r>
        <w:t xml:space="preserve"> pouvant masquer le TDAH :</w:t>
      </w:r>
    </w:p>
    <w:p w:rsidR="00594F4C" w:rsidRPr="009D5C3C" w:rsidRDefault="00594F4C" w:rsidP="00594F4C">
      <w:pPr>
        <w:spacing w:before="0" w:after="0"/>
        <w:jc w:val="center"/>
        <w:rPr>
          <w:u w:val="single"/>
        </w:rPr>
      </w:pPr>
      <w:r w:rsidRPr="009D5C3C">
        <w:rPr>
          <w:noProof/>
          <w:u w:val="single"/>
          <w:lang w:eastAsia="fr-FR"/>
        </w:rPr>
        <w:drawing>
          <wp:inline distT="0" distB="0" distL="0" distR="0" wp14:anchorId="0673F5A4" wp14:editId="29A347E8">
            <wp:extent cx="5473521" cy="3438660"/>
            <wp:effectExtent l="0" t="0" r="635" b="3175"/>
            <wp:docPr id="180" name="Google Shape;180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Google Shape;180;p24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506515" cy="34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4C" w:rsidRPr="00594F4C" w:rsidRDefault="00594F4C" w:rsidP="00594F4C">
      <w:pPr>
        <w:pStyle w:val="Titre3"/>
      </w:pPr>
      <w:r w:rsidRPr="00594F4C">
        <w:t>Les conséquences du TDAH</w:t>
      </w:r>
    </w:p>
    <w:p w:rsidR="00594F4C" w:rsidRPr="00594F4C" w:rsidRDefault="00594F4C" w:rsidP="00594F4C">
      <w:pPr>
        <w:spacing w:before="0" w:after="0"/>
        <w:rPr>
          <w:sz w:val="22"/>
          <w:u w:val="single"/>
        </w:rPr>
      </w:pPr>
      <w:r w:rsidRPr="00594F4C">
        <w:rPr>
          <w:sz w:val="22"/>
          <w:u w:val="single"/>
        </w:rPr>
        <w:t>Conséquences sociales</w:t>
      </w:r>
    </w:p>
    <w:p w:rsidR="00594F4C" w:rsidRPr="00594F4C" w:rsidRDefault="00594F4C" w:rsidP="00594F4C">
      <w:pPr>
        <w:numPr>
          <w:ilvl w:val="0"/>
          <w:numId w:val="19"/>
        </w:numPr>
        <w:spacing w:before="0" w:after="0" w:line="240" w:lineRule="auto"/>
        <w:ind w:left="357" w:hanging="357"/>
        <w:rPr>
          <w:sz w:val="22"/>
        </w:rPr>
      </w:pPr>
      <w:r w:rsidRPr="00594F4C">
        <w:rPr>
          <w:sz w:val="22"/>
        </w:rPr>
        <w:t>Rejet/incompréhension</w:t>
      </w:r>
    </w:p>
    <w:p w:rsidR="00594F4C" w:rsidRPr="00594F4C" w:rsidRDefault="00594F4C" w:rsidP="00594F4C">
      <w:pPr>
        <w:numPr>
          <w:ilvl w:val="0"/>
          <w:numId w:val="19"/>
        </w:numPr>
        <w:spacing w:before="0" w:after="0" w:line="240" w:lineRule="auto"/>
        <w:ind w:left="357" w:hanging="357"/>
        <w:rPr>
          <w:sz w:val="22"/>
        </w:rPr>
      </w:pPr>
      <w:r w:rsidRPr="00594F4C">
        <w:rPr>
          <w:sz w:val="22"/>
        </w:rPr>
        <w:t>Harcèlement</w:t>
      </w:r>
    </w:p>
    <w:p w:rsidR="00594F4C" w:rsidRPr="00594F4C" w:rsidRDefault="00594F4C" w:rsidP="00594F4C">
      <w:pPr>
        <w:numPr>
          <w:ilvl w:val="0"/>
          <w:numId w:val="19"/>
        </w:numPr>
        <w:spacing w:before="0" w:after="0" w:line="240" w:lineRule="auto"/>
        <w:ind w:left="357" w:hanging="357"/>
        <w:rPr>
          <w:sz w:val="22"/>
        </w:rPr>
      </w:pPr>
      <w:r w:rsidRPr="00594F4C">
        <w:rPr>
          <w:sz w:val="22"/>
        </w:rPr>
        <w:t>Vie affective (séparations)</w:t>
      </w:r>
    </w:p>
    <w:p w:rsidR="00594F4C" w:rsidRPr="00594F4C" w:rsidRDefault="00594F4C" w:rsidP="00594F4C">
      <w:pPr>
        <w:numPr>
          <w:ilvl w:val="0"/>
          <w:numId w:val="19"/>
        </w:numPr>
        <w:spacing w:before="0" w:after="0" w:line="240" w:lineRule="auto"/>
        <w:ind w:left="357" w:hanging="357"/>
        <w:rPr>
          <w:sz w:val="22"/>
        </w:rPr>
      </w:pPr>
      <w:r w:rsidRPr="00594F4C">
        <w:rPr>
          <w:sz w:val="22"/>
        </w:rPr>
        <w:t>Isolement</w:t>
      </w:r>
    </w:p>
    <w:p w:rsidR="00594F4C" w:rsidRPr="00594F4C" w:rsidRDefault="00594F4C" w:rsidP="00594F4C">
      <w:pPr>
        <w:spacing w:before="0" w:after="0" w:line="240" w:lineRule="auto"/>
        <w:ind w:left="357"/>
        <w:rPr>
          <w:sz w:val="22"/>
        </w:rPr>
      </w:pPr>
      <w:r w:rsidRPr="00594F4C">
        <w:rPr>
          <w:b/>
          <w:bCs/>
          <w:sz w:val="22"/>
        </w:rPr>
        <w:t>Risque de conduites antisociales :</w:t>
      </w:r>
    </w:p>
    <w:p w:rsidR="00594F4C" w:rsidRPr="00594F4C" w:rsidRDefault="00594F4C" w:rsidP="00594F4C">
      <w:pPr>
        <w:numPr>
          <w:ilvl w:val="0"/>
          <w:numId w:val="19"/>
        </w:numPr>
        <w:spacing w:before="0" w:after="0" w:line="240" w:lineRule="auto"/>
        <w:ind w:left="357" w:hanging="357"/>
        <w:rPr>
          <w:sz w:val="22"/>
        </w:rPr>
      </w:pPr>
      <w:r w:rsidRPr="00594F4C">
        <w:rPr>
          <w:sz w:val="22"/>
        </w:rPr>
        <w:t>Délinquance</w:t>
      </w:r>
    </w:p>
    <w:p w:rsidR="00594F4C" w:rsidRPr="00594F4C" w:rsidRDefault="00594F4C" w:rsidP="00594F4C">
      <w:pPr>
        <w:numPr>
          <w:ilvl w:val="0"/>
          <w:numId w:val="19"/>
        </w:numPr>
        <w:spacing w:before="0" w:after="0" w:line="240" w:lineRule="auto"/>
        <w:ind w:left="357" w:hanging="357"/>
        <w:rPr>
          <w:sz w:val="22"/>
          <w:u w:val="single"/>
        </w:rPr>
      </w:pPr>
      <w:r w:rsidRPr="00594F4C">
        <w:rPr>
          <w:sz w:val="22"/>
        </w:rPr>
        <w:t>Incarcérations</w:t>
      </w:r>
    </w:p>
    <w:p w:rsidR="00594F4C" w:rsidRDefault="00594F4C" w:rsidP="00594F4C">
      <w:pPr>
        <w:spacing w:before="0" w:after="0"/>
        <w:rPr>
          <w:sz w:val="22"/>
          <w:u w:val="single"/>
        </w:rPr>
      </w:pPr>
    </w:p>
    <w:p w:rsidR="00594F4C" w:rsidRPr="00594F4C" w:rsidRDefault="00594F4C" w:rsidP="00594F4C">
      <w:pPr>
        <w:spacing w:before="0" w:after="0"/>
        <w:rPr>
          <w:sz w:val="22"/>
          <w:u w:val="single"/>
        </w:rPr>
      </w:pPr>
      <w:r w:rsidRPr="00594F4C">
        <w:rPr>
          <w:sz w:val="22"/>
          <w:u w:val="single"/>
        </w:rPr>
        <w:t xml:space="preserve">Conséquences sur le travail </w:t>
      </w:r>
    </w:p>
    <w:p w:rsidR="00594F4C" w:rsidRPr="00594F4C" w:rsidRDefault="00594F4C" w:rsidP="00594F4C">
      <w:pPr>
        <w:spacing w:before="0" w:after="0" w:line="240" w:lineRule="auto"/>
        <w:ind w:left="357"/>
        <w:rPr>
          <w:sz w:val="22"/>
          <w:u w:val="single"/>
        </w:rPr>
      </w:pPr>
      <w:r w:rsidRPr="00594F4C">
        <w:rPr>
          <w:sz w:val="22"/>
          <w:u w:val="single"/>
        </w:rPr>
        <w:t>Epidémiologie: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Niveau d’étude et statut d’emploi affecté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Plus de licenciements et de changements d’emplois (ennui)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Plus d’accidents du travail (× 2)</w:t>
      </w:r>
    </w:p>
    <w:p w:rsidR="00594F4C" w:rsidRPr="00594F4C" w:rsidRDefault="00594F4C" w:rsidP="00594F4C">
      <w:pPr>
        <w:spacing w:before="0" w:after="0" w:line="240" w:lineRule="auto"/>
        <w:ind w:left="357"/>
        <w:rPr>
          <w:sz w:val="22"/>
          <w:u w:val="single"/>
        </w:rPr>
      </w:pPr>
      <w:r w:rsidRPr="00594F4C">
        <w:rPr>
          <w:sz w:val="22"/>
          <w:u w:val="single"/>
        </w:rPr>
        <w:t>Difficultés :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Recherche de travail désorganisée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 xml:space="preserve">Erreurs, Lenteur 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Difficulté pour répondre aux exigences du travail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Difficultés pour prioriser/hiérarchiser et planifier les tâches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Moindre aptitude à travailler en autonomie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Conflits (collègues, hiérarchie)</w:t>
      </w:r>
    </w:p>
    <w:p w:rsidR="00594F4C" w:rsidRPr="00594F4C" w:rsidRDefault="00594F4C" w:rsidP="00594F4C">
      <w:pPr>
        <w:spacing w:before="0" w:after="0" w:line="240" w:lineRule="auto"/>
        <w:ind w:left="357"/>
        <w:rPr>
          <w:sz w:val="22"/>
          <w:u w:val="single"/>
        </w:rPr>
      </w:pPr>
      <w:r w:rsidRPr="00594F4C">
        <w:rPr>
          <w:sz w:val="22"/>
          <w:u w:val="single"/>
        </w:rPr>
        <w:t>Conséquences</w:t>
      </w:r>
      <w:r w:rsidRPr="00594F4C">
        <w:rPr>
          <w:b/>
          <w:bCs/>
          <w:sz w:val="22"/>
          <w:u w:val="single"/>
        </w:rPr>
        <w:t>: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 xml:space="preserve">Rendement professionnel altéré (quantitatif et qualitatif), 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Dépassement d’horaires, retards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Rigidité liée au fonctionnement (mauvaise gestion des imprévus, difficulté à acquérir de nouvelles compétences, organisation de l’espace de travail rigide, peur des erreurs)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Risque d’épuisement professionnel = burn out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Perte de motivation/absentéisme, perte de confiance en soi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sz w:val="22"/>
        </w:rPr>
      </w:pPr>
      <w:r w:rsidRPr="00594F4C">
        <w:rPr>
          <w:sz w:val="22"/>
        </w:rPr>
        <w:t>Sentiment d’échec, de sous performance =&gt; Manque d’estime de soi</w:t>
      </w:r>
    </w:p>
    <w:p w:rsidR="00594F4C" w:rsidRDefault="00594F4C" w:rsidP="00594F4C">
      <w:pPr>
        <w:spacing w:before="0" w:after="0" w:line="240" w:lineRule="auto"/>
        <w:rPr>
          <w:sz w:val="22"/>
          <w:u w:val="single"/>
        </w:rPr>
      </w:pPr>
    </w:p>
    <w:p w:rsidR="00594F4C" w:rsidRPr="00594F4C" w:rsidRDefault="00594F4C" w:rsidP="00594F4C">
      <w:pPr>
        <w:spacing w:before="0" w:after="0" w:line="240" w:lineRule="auto"/>
        <w:rPr>
          <w:sz w:val="22"/>
          <w:u w:val="single"/>
        </w:rPr>
      </w:pPr>
      <w:r w:rsidRPr="00594F4C">
        <w:rPr>
          <w:sz w:val="22"/>
          <w:u w:val="single"/>
        </w:rPr>
        <w:t xml:space="preserve">Conséquences sur la santé : </w:t>
      </w:r>
    </w:p>
    <w:p w:rsidR="00594F4C" w:rsidRPr="00594F4C" w:rsidRDefault="00594F4C" w:rsidP="00594F4C">
      <w:pPr>
        <w:spacing w:before="0" w:after="0" w:line="240" w:lineRule="auto"/>
        <w:rPr>
          <w:sz w:val="22"/>
        </w:rPr>
      </w:pPr>
      <w:r w:rsidRPr="00594F4C">
        <w:rPr>
          <w:sz w:val="22"/>
        </w:rPr>
        <w:t>Accidents et addictions</w:t>
      </w:r>
    </w:p>
    <w:p w:rsidR="00594F4C" w:rsidRDefault="00594F4C" w:rsidP="00594F4C">
      <w:pPr>
        <w:spacing w:before="0" w:after="0" w:line="240" w:lineRule="auto"/>
        <w:rPr>
          <w:u w:val="single"/>
        </w:rPr>
      </w:pPr>
    </w:p>
    <w:p w:rsidR="00594F4C" w:rsidRPr="007C0E6B" w:rsidRDefault="00594F4C" w:rsidP="00594F4C">
      <w:pPr>
        <w:pStyle w:val="Titre1"/>
      </w:pPr>
      <w:r>
        <w:t xml:space="preserve">MAIS </w:t>
      </w:r>
      <w:r w:rsidRPr="007C0E6B">
        <w:t>De multiples forces</w:t>
      </w:r>
      <w:r>
        <w:t xml:space="preserve"> ++++++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b/>
          <w:bCs/>
          <w:sz w:val="22"/>
        </w:rPr>
      </w:pPr>
      <w:r w:rsidRPr="00594F4C">
        <w:rPr>
          <w:b/>
          <w:bCs/>
          <w:sz w:val="22"/>
        </w:rPr>
        <w:t>Esprit original, créatif, capacité à trouver des solutions innovantes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b/>
          <w:bCs/>
          <w:sz w:val="22"/>
        </w:rPr>
      </w:pPr>
      <w:r w:rsidRPr="00594F4C">
        <w:rPr>
          <w:b/>
          <w:bCs/>
          <w:sz w:val="22"/>
        </w:rPr>
        <w:t>Humour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b/>
          <w:bCs/>
          <w:sz w:val="22"/>
        </w:rPr>
      </w:pPr>
      <w:r w:rsidRPr="00594F4C">
        <w:rPr>
          <w:b/>
          <w:bCs/>
          <w:sz w:val="22"/>
        </w:rPr>
        <w:t>Energique, spontané, enthousiaste, agréable à fréquenter (« intense »)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b/>
          <w:bCs/>
          <w:sz w:val="22"/>
        </w:rPr>
      </w:pPr>
      <w:r w:rsidRPr="00594F4C">
        <w:rPr>
          <w:b/>
          <w:bCs/>
          <w:sz w:val="22"/>
        </w:rPr>
        <w:t>Bonne capacité à gérer les situations de crise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b/>
          <w:bCs/>
          <w:sz w:val="22"/>
        </w:rPr>
      </w:pPr>
      <w:r w:rsidRPr="00594F4C">
        <w:rPr>
          <w:b/>
          <w:bCs/>
          <w:sz w:val="22"/>
        </w:rPr>
        <w:t>Capacités motrices: rapidité, endurance</w:t>
      </w:r>
    </w:p>
    <w:p w:rsidR="00594F4C" w:rsidRPr="00594F4C" w:rsidRDefault="00594F4C" w:rsidP="00594F4C">
      <w:pPr>
        <w:numPr>
          <w:ilvl w:val="0"/>
          <w:numId w:val="19"/>
        </w:numPr>
        <w:tabs>
          <w:tab w:val="clear" w:pos="360"/>
          <w:tab w:val="num" w:pos="717"/>
        </w:tabs>
        <w:spacing w:before="0" w:after="0" w:line="240" w:lineRule="auto"/>
        <w:ind w:left="714" w:hanging="357"/>
        <w:rPr>
          <w:b/>
          <w:bCs/>
          <w:sz w:val="22"/>
        </w:rPr>
      </w:pPr>
      <w:r w:rsidRPr="00594F4C">
        <w:rPr>
          <w:b/>
          <w:bCs/>
          <w:sz w:val="22"/>
        </w:rPr>
        <w:t>Peu rancunier</w:t>
      </w:r>
    </w:p>
    <w:p w:rsidR="00594F4C" w:rsidRPr="00594F4C" w:rsidRDefault="00594F4C" w:rsidP="00594F4C">
      <w:pPr>
        <w:pStyle w:val="Paragraphedeliste"/>
        <w:numPr>
          <w:ilvl w:val="0"/>
          <w:numId w:val="20"/>
        </w:numPr>
        <w:spacing w:before="0" w:after="0" w:line="240" w:lineRule="auto"/>
        <w:ind w:left="426"/>
        <w:rPr>
          <w:b/>
          <w:bCs/>
          <w:sz w:val="22"/>
        </w:rPr>
      </w:pPr>
      <w:r w:rsidRPr="00594F4C">
        <w:rPr>
          <w:b/>
          <w:bCs/>
          <w:sz w:val="22"/>
        </w:rPr>
        <w:t>Apprivoiser son fonctionnement !</w:t>
      </w:r>
    </w:p>
    <w:p w:rsidR="007E7CD6" w:rsidRPr="00E428D2" w:rsidRDefault="007E7CD6">
      <w:pPr>
        <w:rPr>
          <w:sz w:val="22"/>
        </w:rPr>
      </w:pPr>
      <w:bookmarkStart w:id="0" w:name="_GoBack"/>
      <w:bookmarkEnd w:id="0"/>
    </w:p>
    <w:sectPr w:rsidR="007E7CD6" w:rsidRPr="00E428D2" w:rsidSect="00594F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CD6" w:rsidRDefault="007E7CD6" w:rsidP="007E7CD6">
      <w:pPr>
        <w:spacing w:before="0" w:after="0" w:line="240" w:lineRule="auto"/>
      </w:pPr>
      <w:r>
        <w:separator/>
      </w:r>
    </w:p>
  </w:endnote>
  <w:endnote w:type="continuationSeparator" w:id="0">
    <w:p w:rsidR="007E7CD6" w:rsidRDefault="007E7CD6" w:rsidP="007E7C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CD6" w:rsidRDefault="007E7CD6" w:rsidP="007E7CD6">
      <w:pPr>
        <w:spacing w:before="0" w:after="0" w:line="240" w:lineRule="auto"/>
      </w:pPr>
      <w:r>
        <w:separator/>
      </w:r>
    </w:p>
  </w:footnote>
  <w:footnote w:type="continuationSeparator" w:id="0">
    <w:p w:rsidR="007E7CD6" w:rsidRDefault="007E7CD6" w:rsidP="007E7CD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0CD"/>
    <w:multiLevelType w:val="hybridMultilevel"/>
    <w:tmpl w:val="DF04510A"/>
    <w:lvl w:ilvl="0" w:tplc="873EF4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C80A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080B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34B6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84D7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1002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C68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EAE1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866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B23AB4"/>
    <w:multiLevelType w:val="hybridMultilevel"/>
    <w:tmpl w:val="B4D292E0"/>
    <w:lvl w:ilvl="0" w:tplc="1136BA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9EDD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1A1A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FB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741B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695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56A8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9678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AABA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5B33BD"/>
    <w:multiLevelType w:val="hybridMultilevel"/>
    <w:tmpl w:val="1102B6E2"/>
    <w:lvl w:ilvl="0" w:tplc="ABDC80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CA67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4A3E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6263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1C5F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9C03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AC4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46A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70EF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0F271A"/>
    <w:multiLevelType w:val="hybridMultilevel"/>
    <w:tmpl w:val="99E8FEAA"/>
    <w:lvl w:ilvl="0" w:tplc="4910670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8BEC804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FD8280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C12649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57C0E0A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D6C4C2B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D7ECB2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1A28CF2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6650A35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1E500EE2"/>
    <w:multiLevelType w:val="hybridMultilevel"/>
    <w:tmpl w:val="6FB6225A"/>
    <w:lvl w:ilvl="0" w:tplc="32E299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6665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10DC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DCA3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664D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5C22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CAB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A1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5CDA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F4B39FC"/>
    <w:multiLevelType w:val="hybridMultilevel"/>
    <w:tmpl w:val="8A52EBD2"/>
    <w:lvl w:ilvl="0" w:tplc="655047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78A7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9E31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54D2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679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5A7D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6E0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60DB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227D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39B174E"/>
    <w:multiLevelType w:val="hybridMultilevel"/>
    <w:tmpl w:val="7584B552"/>
    <w:lvl w:ilvl="0" w:tplc="9D10E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4882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F81B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9C98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74E2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C462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0240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1EF6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F470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53171C6"/>
    <w:multiLevelType w:val="hybridMultilevel"/>
    <w:tmpl w:val="1CD22054"/>
    <w:lvl w:ilvl="0" w:tplc="C1243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48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E7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DAF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2E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4F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81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2A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42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24151D"/>
    <w:multiLevelType w:val="hybridMultilevel"/>
    <w:tmpl w:val="3DD4629E"/>
    <w:lvl w:ilvl="0" w:tplc="B14C3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0F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EE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006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85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B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C8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8B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AB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520CD9"/>
    <w:multiLevelType w:val="hybridMultilevel"/>
    <w:tmpl w:val="0812E840"/>
    <w:lvl w:ilvl="0" w:tplc="6FD6C0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64B5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62BC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1CA2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A05A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C263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0029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B0D9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24E1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FBA2D87"/>
    <w:multiLevelType w:val="hybridMultilevel"/>
    <w:tmpl w:val="B31CDA7E"/>
    <w:lvl w:ilvl="0" w:tplc="B3E01E8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AD03E64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238F00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62E744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D0A7F98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E2ED1D4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1EE5DD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CDC8EE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40C7558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691413"/>
    <w:multiLevelType w:val="hybridMultilevel"/>
    <w:tmpl w:val="9DEAB718"/>
    <w:lvl w:ilvl="0" w:tplc="993296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F81F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7473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EEA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260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AC8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12AA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A6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6A8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6117B2F"/>
    <w:multiLevelType w:val="hybridMultilevel"/>
    <w:tmpl w:val="33C696BE"/>
    <w:lvl w:ilvl="0" w:tplc="67BCF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2083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CA20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F22A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06FD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7CCF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A22F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2438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D00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5870A2D"/>
    <w:multiLevelType w:val="hybridMultilevel"/>
    <w:tmpl w:val="4078C198"/>
    <w:lvl w:ilvl="0" w:tplc="91946B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4FB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00D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9ECE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608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1A0E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F019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3464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52D3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757759D"/>
    <w:multiLevelType w:val="hybridMultilevel"/>
    <w:tmpl w:val="D1486E88"/>
    <w:lvl w:ilvl="0" w:tplc="E460E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C7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81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40F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6E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6A5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63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C2F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83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7E40CCB"/>
    <w:multiLevelType w:val="hybridMultilevel"/>
    <w:tmpl w:val="D1460700"/>
    <w:lvl w:ilvl="0" w:tplc="F6640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82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45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D4F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05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C1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25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66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41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6F2068"/>
    <w:multiLevelType w:val="hybridMultilevel"/>
    <w:tmpl w:val="B5D66840"/>
    <w:lvl w:ilvl="0" w:tplc="B79EB3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3CCA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A4DF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F0BF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C6A7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3CEC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1625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0420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8211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A2D01C5"/>
    <w:multiLevelType w:val="hybridMultilevel"/>
    <w:tmpl w:val="B5E0E122"/>
    <w:lvl w:ilvl="0" w:tplc="66C624A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BA4549"/>
    <w:multiLevelType w:val="hybridMultilevel"/>
    <w:tmpl w:val="A20421BC"/>
    <w:lvl w:ilvl="0" w:tplc="6AC463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42C4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0AB2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050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5488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EDE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CE0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085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800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A902F85"/>
    <w:multiLevelType w:val="hybridMultilevel"/>
    <w:tmpl w:val="A260A69A"/>
    <w:lvl w:ilvl="0" w:tplc="4CD01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90246"/>
    <w:multiLevelType w:val="hybridMultilevel"/>
    <w:tmpl w:val="B2A4EB66"/>
    <w:lvl w:ilvl="0" w:tplc="3A5C3F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9079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E24D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6EF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7E92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8BF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A8F0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564A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68CA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18"/>
  </w:num>
  <w:num w:numId="5">
    <w:abstractNumId w:val="15"/>
  </w:num>
  <w:num w:numId="6">
    <w:abstractNumId w:val="11"/>
  </w:num>
  <w:num w:numId="7">
    <w:abstractNumId w:val="14"/>
  </w:num>
  <w:num w:numId="8">
    <w:abstractNumId w:val="9"/>
  </w:num>
  <w:num w:numId="9">
    <w:abstractNumId w:val="4"/>
  </w:num>
  <w:num w:numId="10">
    <w:abstractNumId w:val="0"/>
  </w:num>
  <w:num w:numId="11">
    <w:abstractNumId w:val="20"/>
  </w:num>
  <w:num w:numId="12">
    <w:abstractNumId w:val="6"/>
  </w:num>
  <w:num w:numId="13">
    <w:abstractNumId w:val="5"/>
  </w:num>
  <w:num w:numId="14">
    <w:abstractNumId w:val="12"/>
  </w:num>
  <w:num w:numId="15">
    <w:abstractNumId w:val="16"/>
  </w:num>
  <w:num w:numId="16">
    <w:abstractNumId w:val="2"/>
  </w:num>
  <w:num w:numId="17">
    <w:abstractNumId w:val="13"/>
  </w:num>
  <w:num w:numId="18">
    <w:abstractNumId w:val="1"/>
  </w:num>
  <w:num w:numId="19">
    <w:abstractNumId w:val="10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AF"/>
    <w:rsid w:val="00082131"/>
    <w:rsid w:val="000A2913"/>
    <w:rsid w:val="000C71AB"/>
    <w:rsid w:val="000F6475"/>
    <w:rsid w:val="00221430"/>
    <w:rsid w:val="0023060A"/>
    <w:rsid w:val="002F44AF"/>
    <w:rsid w:val="004C15DF"/>
    <w:rsid w:val="00594F4C"/>
    <w:rsid w:val="005F60A3"/>
    <w:rsid w:val="00643321"/>
    <w:rsid w:val="00700765"/>
    <w:rsid w:val="00743713"/>
    <w:rsid w:val="00780E6F"/>
    <w:rsid w:val="007A4124"/>
    <w:rsid w:val="007E7CD6"/>
    <w:rsid w:val="008309D2"/>
    <w:rsid w:val="00921E3A"/>
    <w:rsid w:val="009A53BC"/>
    <w:rsid w:val="009B0896"/>
    <w:rsid w:val="00D32B32"/>
    <w:rsid w:val="00E428D2"/>
    <w:rsid w:val="00E45339"/>
    <w:rsid w:val="00E54A8D"/>
    <w:rsid w:val="00EC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78261"/>
  <w15:chartTrackingRefBased/>
  <w15:docId w15:val="{C7378E57-574E-46B3-9325-3E88D7C7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DF"/>
  </w:style>
  <w:style w:type="paragraph" w:styleId="Titre1">
    <w:name w:val="heading 1"/>
    <w:basedOn w:val="Normal"/>
    <w:next w:val="Normal"/>
    <w:link w:val="Titre1Car"/>
    <w:uiPriority w:val="9"/>
    <w:qFormat/>
    <w:rsid w:val="004C15D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15D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15D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C15D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C15D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C15D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C15D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C15D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C15D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44A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E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7CD6"/>
  </w:style>
  <w:style w:type="paragraph" w:styleId="Pieddepage">
    <w:name w:val="footer"/>
    <w:basedOn w:val="Normal"/>
    <w:link w:val="PieddepageCar"/>
    <w:uiPriority w:val="99"/>
    <w:unhideWhenUsed/>
    <w:rsid w:val="007E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7CD6"/>
  </w:style>
  <w:style w:type="character" w:customStyle="1" w:styleId="Titre1Car">
    <w:name w:val="Titre 1 Car"/>
    <w:basedOn w:val="Policepardfaut"/>
    <w:link w:val="Titre1"/>
    <w:uiPriority w:val="9"/>
    <w:rsid w:val="004C15D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itre2Car">
    <w:name w:val="Titre 2 Car"/>
    <w:basedOn w:val="Policepardfaut"/>
    <w:link w:val="Titre2"/>
    <w:uiPriority w:val="9"/>
    <w:rsid w:val="004C15DF"/>
    <w:rPr>
      <w:caps/>
      <w:spacing w:val="15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4C15DF"/>
    <w:rPr>
      <w:caps/>
      <w:color w:val="1F4D7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C15DF"/>
    <w:rPr>
      <w:caps/>
      <w:color w:val="2E74B5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C15DF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C15DF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C15DF"/>
    <w:rPr>
      <w:b/>
      <w:bCs/>
      <w:color w:val="2E74B5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C15D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C15D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15D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C15DF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4C15DF"/>
    <w:rPr>
      <w:b/>
      <w:bCs/>
    </w:rPr>
  </w:style>
  <w:style w:type="character" w:styleId="Accentuation">
    <w:name w:val="Emphasis"/>
    <w:uiPriority w:val="20"/>
    <w:qFormat/>
    <w:rsid w:val="004C15DF"/>
    <w:rPr>
      <w:caps/>
      <w:color w:val="1F4D78" w:themeColor="accent1" w:themeShade="7F"/>
      <w:spacing w:val="5"/>
    </w:rPr>
  </w:style>
  <w:style w:type="paragraph" w:styleId="Sansinterligne">
    <w:name w:val="No Spacing"/>
    <w:uiPriority w:val="1"/>
    <w:qFormat/>
    <w:rsid w:val="004C15D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C15DF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C15DF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C15D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C15DF"/>
    <w:rPr>
      <w:color w:val="5B9BD5" w:themeColor="accent1"/>
      <w:sz w:val="24"/>
      <w:szCs w:val="24"/>
    </w:rPr>
  </w:style>
  <w:style w:type="character" w:styleId="Emphaseple">
    <w:name w:val="Subtle Emphasis"/>
    <w:uiPriority w:val="19"/>
    <w:qFormat/>
    <w:rsid w:val="004C15DF"/>
    <w:rPr>
      <w:i/>
      <w:iCs/>
      <w:color w:val="1F4D78" w:themeColor="accent1" w:themeShade="7F"/>
    </w:rPr>
  </w:style>
  <w:style w:type="character" w:styleId="Emphaseintense">
    <w:name w:val="Intense Emphasis"/>
    <w:uiPriority w:val="21"/>
    <w:qFormat/>
    <w:rsid w:val="004C15DF"/>
    <w:rPr>
      <w:b/>
      <w:bCs/>
      <w:caps/>
      <w:color w:val="1F4D78" w:themeColor="accent1" w:themeShade="7F"/>
      <w:spacing w:val="10"/>
    </w:rPr>
  </w:style>
  <w:style w:type="character" w:styleId="Rfrenceple">
    <w:name w:val="Subtle Reference"/>
    <w:uiPriority w:val="31"/>
    <w:qFormat/>
    <w:rsid w:val="004C15DF"/>
    <w:rPr>
      <w:b/>
      <w:bCs/>
      <w:color w:val="5B9BD5" w:themeColor="accent1"/>
    </w:rPr>
  </w:style>
  <w:style w:type="character" w:styleId="Rfrenceintense">
    <w:name w:val="Intense Reference"/>
    <w:uiPriority w:val="32"/>
    <w:qFormat/>
    <w:rsid w:val="004C15DF"/>
    <w:rPr>
      <w:b/>
      <w:bCs/>
      <w:i/>
      <w:iCs/>
      <w:caps/>
      <w:color w:val="5B9BD5" w:themeColor="accent1"/>
    </w:rPr>
  </w:style>
  <w:style w:type="character" w:styleId="Titredulivre">
    <w:name w:val="Book Title"/>
    <w:uiPriority w:val="33"/>
    <w:qFormat/>
    <w:rsid w:val="004C15DF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15D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28D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4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6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7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9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3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2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6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3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7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0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6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4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6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2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5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1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5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8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4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2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5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3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4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8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4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1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5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9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5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6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3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9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C6BEF-A2AD-4490-8C8C-B8F8E60FD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948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Aude CHAM</dc:creator>
  <cp:keywords/>
  <dc:description/>
  <cp:lastModifiedBy>Marie Aude CHAM</cp:lastModifiedBy>
  <cp:revision>5</cp:revision>
  <cp:lastPrinted>2023-04-03T14:24:00Z</cp:lastPrinted>
  <dcterms:created xsi:type="dcterms:W3CDTF">2023-02-23T16:32:00Z</dcterms:created>
  <dcterms:modified xsi:type="dcterms:W3CDTF">2023-04-03T14:25:00Z</dcterms:modified>
</cp:coreProperties>
</file>